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bCs w:val="1"/>
          <w:color w:val="000000"/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H Sarabun PSK" w:cs="TH Sarabun PSK" w:eastAsia="TH Sarabun PSK" w:hAnsi="TH Sarabun PSK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28"/>
          <w:szCs w:val="28"/>
          <w:rtl w:val="0"/>
        </w:rPr>
        <w:t xml:space="preserve">ข้อมูลเงินกองทุนเพื่อการสืบสวน สอบสวน การป้องกัน และปราบปรามการกระทำความผิดทางอาญา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28"/>
          <w:szCs w:val="28"/>
          <w:rtl w:val="0"/>
        </w:rPr>
        <w:t xml:space="preserve">ประจำปีงบประมาณ พ.ศ. 2569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Sarabun" w:cs="Sarabun" w:eastAsia="Sarabun" w:hAnsi="Sarabun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28"/>
          <w:szCs w:val="28"/>
          <w:rtl w:val="0"/>
        </w:rPr>
        <w:t xml:space="preserve">ตรวจคนเข้าเมืองจังหวัดประจวบคีรีขันธ์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954.5000000000003" w:tblpY="1"/>
        <w:tblW w:w="121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1134"/>
        <w:gridCol w:w="1134"/>
        <w:gridCol w:w="1134"/>
        <w:gridCol w:w="1134"/>
        <w:gridCol w:w="1134"/>
        <w:gridCol w:w="1134"/>
        <w:gridCol w:w="1134"/>
        <w:gridCol w:w="1134"/>
        <w:tblGridChange w:id="0">
          <w:tblGrid>
            <w:gridCol w:w="3119"/>
            <w:gridCol w:w="1134"/>
            <w:gridCol w:w="1134"/>
            <w:gridCol w:w="1134"/>
            <w:gridCol w:w="1134"/>
            <w:gridCol w:w="1134"/>
            <w:gridCol w:w="1134"/>
            <w:gridCol w:w="1134"/>
            <w:gridCol w:w="1134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vMerge w:val="restart"/>
            <w:shd w:fill="c8cae7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รายการ</w:t>
            </w:r>
          </w:p>
        </w:tc>
        <w:tc>
          <w:tcPr>
            <w:gridSpan w:val="2"/>
            <w:shd w:fill="c8cae7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ไตรมาสที่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(ม.ค. - มี.ค.69)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8cae7" w:val="clear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ไตรมาสที่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(เม.ย. – มิ.ย.69)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8cae7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ไตรมาสที่ 3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(ก.ค. – ก.ย.69)</w:t>
            </w:r>
          </w:p>
        </w:tc>
        <w:tc>
          <w:tcPr>
            <w:gridSpan w:val="2"/>
            <w:shd w:fill="c8cae7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ไตรมาสที่ 4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(ต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ค. - ธ.ค.69)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c8cae7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จัดสรร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เบิกจ่าย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จัดสรร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เบิกจ่าย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B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จัดสรร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C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เบิกจ่าย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จัดสรร</w:t>
            </w:r>
          </w:p>
        </w:tc>
        <w:tc>
          <w:tcPr>
            <w:shd w:fill="c8cae7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เบิกจ่าย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0"/>
                <w:szCs w:val="20"/>
                <w:rtl w:val="0"/>
              </w:rPr>
              <w:t xml:space="preserve">เงินกองทุนเพื่อการสืบสวนฯ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รวมเงิน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1920"/>
              </w:tabs>
              <w:rPr>
                <w:rFonts w:ascii="Sarabun" w:cs="Sarabun" w:eastAsia="Sarabun" w:hAnsi="Sarabu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รวมจำนวนคดีที่ใช้เงินกองทุนฯ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1920"/>
              </w:tabs>
              <w:jc w:val="center"/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920"/>
              </w:tabs>
              <w:rPr>
                <w:rFonts w:ascii="Sarabun" w:cs="Sarabun" w:eastAsia="Sarabun" w:hAnsi="Sarabu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0" w:line="240" w:lineRule="auto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20"/>
        </w:tabs>
        <w:spacing w:after="100" w:line="240" w:lineRule="auto"/>
        <w:rPr>
          <w:rFonts w:ascii="Sarabun" w:cs="Sarabun" w:eastAsia="Sarabun" w:hAnsi="Sarabun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24"/>
          <w:szCs w:val="24"/>
          <w:u w:val="single"/>
          <w:rtl w:val="0"/>
        </w:rPr>
        <w:t xml:space="preserve">หมายเหตุ</w:t>
      </w: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00" w:line="240" w:lineRule="auto"/>
        <w:rPr>
          <w:rFonts w:ascii="Sarabun" w:cs="Sarabun" w:eastAsia="Sarabun" w:hAnsi="Sarabu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24"/>
          <w:szCs w:val="24"/>
          <w:rtl w:val="0"/>
        </w:rPr>
        <w:tab/>
        <w:t xml:space="preserve">1.</w:t>
      </w: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00000"/>
          <w:sz w:val="24"/>
          <w:szCs w:val="24"/>
          <w:rtl w:val="0"/>
        </w:rPr>
        <w:t xml:space="preserve">ตรวจคนเข้าเมืองจังหวัดประจวบคีรีขันธ์ ไม่ได้รับจัดสรรเงินกองทุนเพื่อการสืบสวน สอบสวน การป้องกันและปราบปรามการกระทำผิดทางอาญา แต่อย่างใด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00" w:line="240" w:lineRule="auto"/>
        <w:jc w:val="both"/>
        <w:rPr>
          <w:rFonts w:ascii="Sarabun" w:cs="Sarabun" w:eastAsia="Sarabun" w:hAnsi="Sarabu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color w:val="000000"/>
          <w:sz w:val="24"/>
          <w:szCs w:val="24"/>
          <w:rtl w:val="0"/>
        </w:rPr>
        <w:tab/>
        <w:t xml:space="preserve">2. เงินกองทุนเพื่อการสืบสวน สอบสวน การป้องกันและปราบปรามการกระทำความผิดทางอาญา ได้รับการจัดสรรงบประมาณตามไตรมาสของปีงบประมาณ ดังนั้น</w:t>
      </w: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color w:val="000000"/>
          <w:sz w:val="24"/>
          <w:szCs w:val="24"/>
          <w:rtl w:val="0"/>
        </w:rPr>
        <w:t xml:space="preserve">การใส่ข้อมูลของเงินกองทุนไตรมาสที่ 2 สามารถใส่ได้ตั้งแต่เดือน เม.ย. - มิ.ย. 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</w:tabs>
        <w:spacing w:after="100" w:line="240" w:lineRule="auto"/>
        <w:jc w:val="both"/>
        <w:rPr>
          <w:rFonts w:ascii="Sarabun" w:cs="Sarabun" w:eastAsia="Sarabun" w:hAnsi="Sarabun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color w:val="000000"/>
          <w:sz w:val="32"/>
          <w:szCs w:val="32"/>
          <w:rtl w:val="0"/>
        </w:rPr>
        <w:br w:type="textWrapping"/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6041708</wp:posOffset>
                </wp:positionH>
                <wp:positionV relativeFrom="paragraph">
                  <wp:posOffset>106363</wp:posOffset>
                </wp:positionV>
                <wp:extent cx="2604135" cy="1414145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8695" y="3077690"/>
                          <a:ext cx="259461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ข้อมูล ณ วันที่ 15 พฤษภาคม 2569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6041708</wp:posOffset>
                </wp:positionH>
                <wp:positionV relativeFrom="paragraph">
                  <wp:posOffset>106363</wp:posOffset>
                </wp:positionV>
                <wp:extent cx="2604135" cy="1414145"/>
                <wp:effectExtent b="0" l="0" r="0" t="0"/>
                <wp:wrapSquare wrapText="bothSides" distB="45720" distT="4572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413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2240" w:w="15840" w:orient="landscape"/>
      <w:pgMar w:bottom="1183" w:top="850.3937007874016" w:left="993" w:right="123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rFonts w:ascii="TH Sarabun PSK" w:cs="TH Sarabun PSK" w:eastAsia="TH Sarabun PSK" w:hAnsi="TH Sarabun PSK"/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8601075</wp:posOffset>
          </wp:positionH>
          <wp:positionV relativeFrom="paragraph">
            <wp:posOffset>-274319</wp:posOffset>
          </wp:positionV>
          <wp:extent cx="342900" cy="359627"/>
          <wp:effectExtent b="0" l="0" r="0" t="0"/>
          <wp:wrapNone/>
          <wp:docPr descr="Immigration Buraeu logo.png" id="3" name="image1.png"/>
          <a:graphic>
            <a:graphicData uri="http://schemas.openxmlformats.org/drawingml/2006/picture">
              <pic:pic>
                <pic:nvPicPr>
                  <pic:cNvPr descr="Immigration Buraeu log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2900" cy="3596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2645093</wp:posOffset>
              </wp:positionH>
              <wp:positionV relativeFrom="paragraph">
                <wp:posOffset>-294321</wp:posOffset>
              </wp:positionV>
              <wp:extent cx="5953125" cy="141414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4200" y="3077690"/>
                        <a:ext cx="59436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H Sarabun PSK" w:cs="TH Sarabun PSK" w:eastAsia="TH Sarabun PSK" w:hAnsi="TH Sarabun PS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การประเมินคุณธรรมและความโปร่งใสในการดำเนินงานของหน่วยงานภาครัฐ  (Integrity &amp; Transparency Assessment: ITA)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H Sarabun PSK" w:cs="TH Sarabun PSK" w:eastAsia="TH Sarabun PSK" w:hAnsi="TH Sarabun PS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H Sarabun PSK" w:cs="TH Sarabun PSK" w:eastAsia="TH Sarabun PSK" w:hAnsi="TH Sarabun PSK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ของตรวจคนเข้าเมืองจังหวัดประจวบคีรีขันธ์ ประจำปีงบประมาณ พ.ศ.2569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2645093</wp:posOffset>
              </wp:positionH>
              <wp:positionV relativeFrom="paragraph">
                <wp:posOffset>-294321</wp:posOffset>
              </wp:positionV>
              <wp:extent cx="5953125" cy="1414145"/>
              <wp:effectExtent b="0" l="0" r="0" t="0"/>
              <wp:wrapSquare wrapText="bothSides" distB="45720" distT="4572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312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v7dQz3ZStndZw105Ori+2p/ldw==">CgMxLjA4AHIhMTAxREE2N0dSNGFVS3Z1dFU4dlJRV2dkYXgtTVBoSHZY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